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6656F" w14:textId="77777777" w:rsidR="00572564" w:rsidRDefault="00572564" w:rsidP="00370F3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6ED736" wp14:editId="754326FB">
            <wp:extent cx="1733550" cy="815788"/>
            <wp:effectExtent l="0" t="0" r="0" b="0"/>
            <wp:docPr id="2" name="Picture 2" descr="C:\Users\rewaneka\Dropbox\Charter School\Communications\Logos\Francophone_Bridge&amp;Bay_20140310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waneka\Dropbox\Charter School\Communications\Logos\Francophone_Bridge&amp;Bay_20140310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E0E86" w14:textId="77777777" w:rsidR="00370F36" w:rsidRDefault="00370F36" w:rsidP="00370F36">
      <w:pPr>
        <w:spacing w:before="0" w:after="0" w:line="240" w:lineRule="auto"/>
        <w:jc w:val="center"/>
        <w:rPr>
          <w:b/>
          <w:sz w:val="28"/>
          <w:szCs w:val="28"/>
        </w:rPr>
      </w:pPr>
      <w:r w:rsidRPr="0047030A">
        <w:rPr>
          <w:b/>
          <w:sz w:val="28"/>
          <w:szCs w:val="28"/>
        </w:rPr>
        <w:t>AGENDA</w:t>
      </w:r>
    </w:p>
    <w:p w14:paraId="762FCAD2" w14:textId="11B22DD4" w:rsidR="004F4882" w:rsidRDefault="007B0714" w:rsidP="00370F3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Governance Committee </w:t>
      </w:r>
    </w:p>
    <w:p w14:paraId="5D4ED607" w14:textId="75AEA6CB" w:rsidR="00370F36" w:rsidRPr="0047030A" w:rsidRDefault="00370F36" w:rsidP="00074C56">
      <w:pPr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Francophone Charter School of Oakland</w:t>
      </w:r>
    </w:p>
    <w:p w14:paraId="3475AA27" w14:textId="77777777" w:rsidR="00370F3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</w:p>
    <w:p w14:paraId="210D6B51" w14:textId="77777777" w:rsidR="00370F3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Location:</w:t>
      </w:r>
    </w:p>
    <w:p w14:paraId="1ADAD167" w14:textId="31E365B9" w:rsidR="000B75B3" w:rsidRDefault="003A5436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6701 Chabot Rd.</w:t>
      </w:r>
      <w:r w:rsidR="000B75B3" w:rsidRPr="00115D95">
        <w:rPr>
          <w:sz w:val="28"/>
          <w:szCs w:val="28"/>
        </w:rPr>
        <w:t>, Oakland, CA</w:t>
      </w:r>
      <w:r>
        <w:rPr>
          <w:sz w:val="28"/>
          <w:szCs w:val="28"/>
        </w:rPr>
        <w:t xml:space="preserve"> 94618</w:t>
      </w:r>
    </w:p>
    <w:p w14:paraId="57A02120" w14:textId="220B17BA" w:rsidR="00370F36" w:rsidRDefault="00CE23E9" w:rsidP="00370F36">
      <w:pPr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370F36">
        <w:rPr>
          <w:sz w:val="28"/>
          <w:szCs w:val="28"/>
        </w:rPr>
        <w:t xml:space="preserve">, </w:t>
      </w:r>
      <w:r>
        <w:rPr>
          <w:sz w:val="28"/>
          <w:szCs w:val="28"/>
        </w:rPr>
        <w:t>March 14</w:t>
      </w:r>
      <w:r w:rsidR="007B0714">
        <w:rPr>
          <w:sz w:val="28"/>
          <w:szCs w:val="28"/>
        </w:rPr>
        <w:t>,</w:t>
      </w:r>
      <w:r w:rsidR="00370F36">
        <w:rPr>
          <w:sz w:val="28"/>
          <w:szCs w:val="28"/>
        </w:rPr>
        <w:t xml:space="preserve"> 201</w:t>
      </w:r>
      <w:r w:rsidR="0097322C">
        <w:rPr>
          <w:sz w:val="28"/>
          <w:szCs w:val="28"/>
        </w:rPr>
        <w:t>6</w:t>
      </w:r>
      <w:r w:rsidR="00370F36">
        <w:rPr>
          <w:sz w:val="28"/>
          <w:szCs w:val="28"/>
        </w:rPr>
        <w:t xml:space="preserve"> at </w:t>
      </w:r>
      <w:r w:rsidR="0097322C">
        <w:rPr>
          <w:sz w:val="28"/>
          <w:szCs w:val="28"/>
        </w:rPr>
        <w:t>7</w:t>
      </w:r>
      <w:r w:rsidR="00370F36">
        <w:rPr>
          <w:sz w:val="28"/>
          <w:szCs w:val="28"/>
        </w:rPr>
        <w:t>:</w:t>
      </w:r>
      <w:r w:rsidR="003B6E31">
        <w:rPr>
          <w:sz w:val="28"/>
          <w:szCs w:val="28"/>
        </w:rPr>
        <w:t>3</w:t>
      </w:r>
      <w:r w:rsidR="00370F36">
        <w:rPr>
          <w:sz w:val="28"/>
          <w:szCs w:val="28"/>
        </w:rPr>
        <w:t>0</w:t>
      </w:r>
      <w:r w:rsidR="0097322C">
        <w:rPr>
          <w:sz w:val="28"/>
          <w:szCs w:val="28"/>
        </w:rPr>
        <w:t>p</w:t>
      </w:r>
      <w:r w:rsidR="00370F36">
        <w:rPr>
          <w:sz w:val="28"/>
          <w:szCs w:val="28"/>
        </w:rPr>
        <w:t>m</w:t>
      </w:r>
    </w:p>
    <w:p w14:paraId="3523B81F" w14:textId="77777777" w:rsidR="00370F36" w:rsidRPr="000364C6" w:rsidRDefault="00370F36" w:rsidP="00370F36">
      <w:pPr>
        <w:spacing w:before="0" w:after="0" w:line="240" w:lineRule="auto"/>
        <w:jc w:val="center"/>
        <w:rPr>
          <w:sz w:val="28"/>
          <w:szCs w:val="28"/>
        </w:rPr>
      </w:pPr>
    </w:p>
    <w:p w14:paraId="32F2AE19" w14:textId="0410C2B1" w:rsidR="008656F0" w:rsidRDefault="00370F36" w:rsidP="008656F0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Opening Items</w:t>
      </w:r>
    </w:p>
    <w:p w14:paraId="650781B5" w14:textId="0EA52638" w:rsidR="00C83899" w:rsidRPr="00C83899" w:rsidRDefault="00725036" w:rsidP="005725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Call to Order</w:t>
      </w:r>
    </w:p>
    <w:p w14:paraId="06BCF47E" w14:textId="77777777" w:rsidR="00370F36" w:rsidRPr="00C83899" w:rsidRDefault="00C83899" w:rsidP="005725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Roll Call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207"/>
        <w:gridCol w:w="1080"/>
        <w:gridCol w:w="990"/>
      </w:tblGrid>
      <w:tr w:rsidR="00370F36" w14:paraId="4FC6C4E9" w14:textId="77777777" w:rsidTr="002B2A50">
        <w:tc>
          <w:tcPr>
            <w:tcW w:w="3207" w:type="dxa"/>
          </w:tcPr>
          <w:p w14:paraId="19FC4923" w14:textId="77777777" w:rsidR="00370F36" w:rsidRPr="00BD1FB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Board Member Name</w:t>
            </w:r>
          </w:p>
        </w:tc>
        <w:tc>
          <w:tcPr>
            <w:tcW w:w="1080" w:type="dxa"/>
          </w:tcPr>
          <w:p w14:paraId="7E8E8280" w14:textId="77777777" w:rsidR="00370F36" w:rsidRPr="00BD1FB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Present</w:t>
            </w:r>
          </w:p>
        </w:tc>
        <w:tc>
          <w:tcPr>
            <w:tcW w:w="990" w:type="dxa"/>
          </w:tcPr>
          <w:p w14:paraId="3C3170F2" w14:textId="77777777" w:rsidR="00370F36" w:rsidRPr="00BD1FB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BD1FB6">
              <w:rPr>
                <w:rFonts w:cs="Calibri"/>
                <w:b/>
                <w:sz w:val="24"/>
                <w:szCs w:val="24"/>
              </w:rPr>
              <w:t>Absent</w:t>
            </w:r>
          </w:p>
        </w:tc>
      </w:tr>
      <w:tr w:rsidR="00370F36" w14:paraId="03F416D0" w14:textId="77777777" w:rsidTr="002B2A50">
        <w:tc>
          <w:tcPr>
            <w:tcW w:w="3207" w:type="dxa"/>
          </w:tcPr>
          <w:p w14:paraId="328D55B9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Annette Dennett</w:t>
            </w:r>
          </w:p>
        </w:tc>
        <w:tc>
          <w:tcPr>
            <w:tcW w:w="1080" w:type="dxa"/>
          </w:tcPr>
          <w:p w14:paraId="731E5DDD" w14:textId="5400A9FF" w:rsidR="00370F36" w:rsidRDefault="00370F36" w:rsidP="00A118F9">
            <w:pPr>
              <w:pStyle w:val="ListParagraph"/>
              <w:spacing w:before="0"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03E84F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370F36" w14:paraId="1FD89634" w14:textId="77777777" w:rsidTr="002B2A50">
        <w:tc>
          <w:tcPr>
            <w:tcW w:w="3207" w:type="dxa"/>
          </w:tcPr>
          <w:p w14:paraId="708CD255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Mathilde Andrejko</w:t>
            </w:r>
          </w:p>
        </w:tc>
        <w:tc>
          <w:tcPr>
            <w:tcW w:w="1080" w:type="dxa"/>
          </w:tcPr>
          <w:p w14:paraId="656DEF07" w14:textId="6F817209" w:rsidR="00370F36" w:rsidRDefault="00370F36" w:rsidP="00A118F9">
            <w:pPr>
              <w:pStyle w:val="ListParagraph"/>
              <w:spacing w:before="0"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577CBF7" w14:textId="77777777" w:rsidR="00370F36" w:rsidRDefault="00370F36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9F06C4" w14:paraId="49BCD39A" w14:textId="77777777" w:rsidTr="002B2A50">
        <w:tc>
          <w:tcPr>
            <w:tcW w:w="3207" w:type="dxa"/>
          </w:tcPr>
          <w:p w14:paraId="327E8E58" w14:textId="6C0E936F" w:rsidR="009F06C4" w:rsidRDefault="009F06C4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Lauren Senna</w:t>
            </w:r>
          </w:p>
        </w:tc>
        <w:tc>
          <w:tcPr>
            <w:tcW w:w="1080" w:type="dxa"/>
          </w:tcPr>
          <w:p w14:paraId="3C279A30" w14:textId="77777777" w:rsidR="009F06C4" w:rsidRDefault="009F06C4" w:rsidP="00A118F9">
            <w:pPr>
              <w:pStyle w:val="ListParagraph"/>
              <w:spacing w:before="0" w:after="0" w:line="240" w:lineRule="auto"/>
              <w:ind w:left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6530392" w14:textId="77777777" w:rsidR="009F06C4" w:rsidRDefault="009F06C4" w:rsidP="002B2A50">
            <w:pPr>
              <w:pStyle w:val="ListParagraph"/>
              <w:spacing w:before="0"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26E6424B" w14:textId="77777777" w:rsidR="00C83899" w:rsidRPr="00F44417" w:rsidRDefault="00C83899" w:rsidP="00F44417">
      <w:pPr>
        <w:spacing w:before="0" w:after="0" w:line="240" w:lineRule="auto"/>
        <w:rPr>
          <w:rFonts w:cs="Calibri"/>
          <w:sz w:val="24"/>
          <w:szCs w:val="24"/>
        </w:rPr>
      </w:pPr>
    </w:p>
    <w:p w14:paraId="35CFEEE4" w14:textId="444545DC" w:rsidR="00CD7A0A" w:rsidRDefault="006F28D4" w:rsidP="00CD7A0A">
      <w:pPr>
        <w:pStyle w:val="ListParagraph"/>
        <w:numPr>
          <w:ilvl w:val="0"/>
          <w:numId w:val="2"/>
        </w:numPr>
        <w:spacing w:before="0" w:after="120" w:line="240" w:lineRule="auto"/>
        <w:contextualSpacing w:val="0"/>
        <w:rPr>
          <w:rFonts w:cs="Calibri"/>
          <w:b/>
          <w:sz w:val="24"/>
          <w:szCs w:val="24"/>
        </w:rPr>
      </w:pPr>
      <w:r w:rsidRPr="00C83899">
        <w:rPr>
          <w:rFonts w:cs="Calibri"/>
          <w:b/>
          <w:sz w:val="24"/>
          <w:szCs w:val="24"/>
        </w:rPr>
        <w:t xml:space="preserve">Approval of </w:t>
      </w:r>
      <w:r w:rsidR="0089130B">
        <w:rPr>
          <w:rFonts w:cs="Calibri"/>
          <w:b/>
          <w:sz w:val="24"/>
          <w:szCs w:val="24"/>
        </w:rPr>
        <w:t>Agenda</w:t>
      </w:r>
    </w:p>
    <w:p w14:paraId="1209AB03" w14:textId="17F25A19" w:rsidR="009574AD" w:rsidRPr="00CD7A0A" w:rsidRDefault="009574AD" w:rsidP="00CD7A0A">
      <w:pPr>
        <w:pStyle w:val="ListParagraph"/>
        <w:numPr>
          <w:ilvl w:val="0"/>
          <w:numId w:val="2"/>
        </w:numPr>
        <w:spacing w:before="0" w:after="120"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Public Comment Policy</w:t>
      </w:r>
    </w:p>
    <w:p w14:paraId="427E27B0" w14:textId="74159899" w:rsidR="00F31F7D" w:rsidRPr="00F31F7D" w:rsidRDefault="00F31F7D" w:rsidP="00F31F7D">
      <w:pPr>
        <w:pStyle w:val="ListParagraph"/>
        <w:numPr>
          <w:ilvl w:val="0"/>
          <w:numId w:val="2"/>
        </w:numPr>
        <w:spacing w:before="0"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Approval of Minutes – 12/16/2015</w:t>
      </w:r>
      <w:r w:rsidR="00CE23E9">
        <w:rPr>
          <w:rFonts w:cs="Calibri"/>
          <w:b/>
          <w:sz w:val="24"/>
          <w:szCs w:val="24"/>
        </w:rPr>
        <w:t xml:space="preserve">, </w:t>
      </w:r>
      <w:r w:rsidR="00512601">
        <w:rPr>
          <w:rFonts w:cs="Calibri"/>
          <w:b/>
          <w:sz w:val="24"/>
          <w:szCs w:val="24"/>
        </w:rPr>
        <w:t>01/21/16</w:t>
      </w:r>
      <w:r w:rsidR="00CE23E9">
        <w:rPr>
          <w:rFonts w:cs="Calibri"/>
          <w:b/>
          <w:sz w:val="24"/>
          <w:szCs w:val="24"/>
        </w:rPr>
        <w:t>, 2/11/16</w:t>
      </w:r>
    </w:p>
    <w:p w14:paraId="4E47AB77" w14:textId="77777777" w:rsidR="00370F36" w:rsidRDefault="00C83899" w:rsidP="00370F36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 xml:space="preserve">Information &amp; </w:t>
      </w:r>
      <w:r w:rsidR="00370F36" w:rsidRPr="00942977">
        <w:t xml:space="preserve">Action Items </w:t>
      </w:r>
    </w:p>
    <w:p w14:paraId="2E89D33E" w14:textId="77777777" w:rsidR="007820F5" w:rsidRDefault="007820F5" w:rsidP="00572564">
      <w:pPr>
        <w:spacing w:after="0" w:line="240" w:lineRule="auto"/>
      </w:pPr>
    </w:p>
    <w:tbl>
      <w:tblPr>
        <w:tblStyle w:val="TableGrid"/>
        <w:tblW w:w="0" w:type="auto"/>
        <w:tblInd w:w="687" w:type="dxa"/>
        <w:tblLook w:val="04A0" w:firstRow="1" w:lastRow="0" w:firstColumn="1" w:lastColumn="0" w:noHBand="0" w:noVBand="1"/>
      </w:tblPr>
      <w:tblGrid>
        <w:gridCol w:w="7611"/>
        <w:gridCol w:w="1170"/>
        <w:gridCol w:w="1440"/>
      </w:tblGrid>
      <w:tr w:rsidR="00CE23E9" w:rsidRPr="00583533" w14:paraId="378A7CD4" w14:textId="77777777" w:rsidTr="00CC6112">
        <w:trPr>
          <w:trHeight w:val="386"/>
        </w:trPr>
        <w:tc>
          <w:tcPr>
            <w:tcW w:w="7611" w:type="dxa"/>
          </w:tcPr>
          <w:p w14:paraId="7879B149" w14:textId="77777777" w:rsidR="00CE23E9" w:rsidRPr="00583533" w:rsidRDefault="00CE23E9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Agenda Item</w:t>
            </w:r>
          </w:p>
        </w:tc>
        <w:tc>
          <w:tcPr>
            <w:tcW w:w="1170" w:type="dxa"/>
          </w:tcPr>
          <w:p w14:paraId="555E95AB" w14:textId="77777777" w:rsidR="00CE23E9" w:rsidRPr="00583533" w:rsidRDefault="00CE23E9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Time</w:t>
            </w:r>
          </w:p>
        </w:tc>
        <w:tc>
          <w:tcPr>
            <w:tcW w:w="1440" w:type="dxa"/>
          </w:tcPr>
          <w:p w14:paraId="28A0AFF1" w14:textId="77777777" w:rsidR="00CE23E9" w:rsidRPr="00583533" w:rsidRDefault="00CE23E9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b/>
                <w:sz w:val="24"/>
                <w:szCs w:val="24"/>
              </w:rPr>
            </w:pPr>
            <w:r w:rsidRPr="00583533">
              <w:rPr>
                <w:rFonts w:cs="Calibri"/>
                <w:b/>
                <w:sz w:val="24"/>
                <w:szCs w:val="24"/>
              </w:rPr>
              <w:t>Status*</w:t>
            </w:r>
          </w:p>
        </w:tc>
      </w:tr>
      <w:tr w:rsidR="00CE23E9" w:rsidRPr="00583533" w14:paraId="46A68B47" w14:textId="77777777" w:rsidTr="00CC6112">
        <w:tc>
          <w:tcPr>
            <w:tcW w:w="7611" w:type="dxa"/>
          </w:tcPr>
          <w:p w14:paraId="13775ADB" w14:textId="483F5C76" w:rsidR="00CE23E9" w:rsidRPr="00173CEB" w:rsidRDefault="00CE23E9" w:rsidP="003E2765">
            <w:pPr>
              <w:pStyle w:val="ListParagraph"/>
              <w:numPr>
                <w:ilvl w:val="0"/>
                <w:numId w:val="3"/>
              </w:numPr>
              <w:spacing w:before="0" w:after="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Review FCSO Resolutions and Numbering </w:t>
            </w:r>
          </w:p>
        </w:tc>
        <w:tc>
          <w:tcPr>
            <w:tcW w:w="1170" w:type="dxa"/>
          </w:tcPr>
          <w:p w14:paraId="275A59F2" w14:textId="4E2B5B86" w:rsidR="00CE23E9" w:rsidRPr="00583533" w:rsidRDefault="00CE23E9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503970BB" w14:textId="3A259AEB" w:rsidR="00CE23E9" w:rsidRPr="00583533" w:rsidRDefault="00CE23E9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Green</w:t>
            </w:r>
          </w:p>
        </w:tc>
      </w:tr>
      <w:tr w:rsidR="00CE23E9" w:rsidRPr="00583533" w14:paraId="2D6B3CA7" w14:textId="77777777" w:rsidTr="00CC6112">
        <w:tc>
          <w:tcPr>
            <w:tcW w:w="7611" w:type="dxa"/>
          </w:tcPr>
          <w:p w14:paraId="70ABC78D" w14:textId="1D282F7A" w:rsidR="00CE23E9" w:rsidRDefault="00CE23E9" w:rsidP="008037D2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CE23E9">
              <w:rPr>
                <w:rFonts w:cs="Calibri"/>
                <w:sz w:val="24"/>
                <w:szCs w:val="24"/>
                <w:vertAlign w:val="superscript"/>
              </w:rPr>
              <w:t>nd</w:t>
            </w:r>
            <w:r>
              <w:rPr>
                <w:rFonts w:cs="Calibri"/>
                <w:sz w:val="24"/>
                <w:szCs w:val="24"/>
              </w:rPr>
              <w:t xml:space="preserve"> Phase of Board Recruitment – Onboarding Materials/Process</w:t>
            </w:r>
          </w:p>
        </w:tc>
        <w:tc>
          <w:tcPr>
            <w:tcW w:w="1170" w:type="dxa"/>
          </w:tcPr>
          <w:p w14:paraId="4A24D87B" w14:textId="7062F054" w:rsidR="00CE23E9" w:rsidRDefault="00CE23E9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0291C625" w14:textId="6EF045FF" w:rsidR="00CE23E9" w:rsidRDefault="00CE23E9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Orange</w:t>
            </w:r>
          </w:p>
        </w:tc>
      </w:tr>
      <w:tr w:rsidR="00CE23E9" w:rsidRPr="00583533" w14:paraId="7081ED59" w14:textId="77777777" w:rsidTr="00CC6112">
        <w:tc>
          <w:tcPr>
            <w:tcW w:w="7611" w:type="dxa"/>
          </w:tcPr>
          <w:p w14:paraId="36FCE5F2" w14:textId="77777777" w:rsidR="00CE23E9" w:rsidRDefault="00CE23E9" w:rsidP="00CE23E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Review Board Orientation Timeline – Spring 2016</w:t>
            </w:r>
          </w:p>
        </w:tc>
        <w:tc>
          <w:tcPr>
            <w:tcW w:w="1170" w:type="dxa"/>
          </w:tcPr>
          <w:p w14:paraId="1F0E55A6" w14:textId="77777777" w:rsidR="00CE23E9" w:rsidRDefault="00CE23E9" w:rsidP="00022F3B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03F887E4" w14:textId="77777777" w:rsidR="00CE23E9" w:rsidRPr="00583533" w:rsidRDefault="00CE23E9" w:rsidP="00022F3B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Red</w:t>
            </w:r>
          </w:p>
        </w:tc>
      </w:tr>
      <w:tr w:rsidR="00CE23E9" w:rsidRPr="00583533" w14:paraId="0B353985" w14:textId="77777777" w:rsidTr="00CC6112">
        <w:tc>
          <w:tcPr>
            <w:tcW w:w="7611" w:type="dxa"/>
          </w:tcPr>
          <w:p w14:paraId="7E39F85C" w14:textId="7B94D1E7" w:rsidR="00CE23E9" w:rsidRPr="004F6CC8" w:rsidRDefault="00CE23E9" w:rsidP="00CE23E9">
            <w:pPr>
              <w:pStyle w:val="ListParagraph"/>
              <w:numPr>
                <w:ilvl w:val="0"/>
                <w:numId w:val="3"/>
              </w:numPr>
              <w:spacing w:before="0" w:after="120" w:line="240" w:lineRule="auto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Board Goals &amp; Self-Assessment</w:t>
            </w:r>
          </w:p>
        </w:tc>
        <w:tc>
          <w:tcPr>
            <w:tcW w:w="1170" w:type="dxa"/>
          </w:tcPr>
          <w:p w14:paraId="3038BF14" w14:textId="4A59B340" w:rsidR="00CE23E9" w:rsidRPr="00583533" w:rsidRDefault="00CE23E9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14:paraId="0C0732D1" w14:textId="4BD1996D" w:rsidR="00CE23E9" w:rsidRPr="00583533" w:rsidRDefault="00CE23E9" w:rsidP="002B2A50">
            <w:pPr>
              <w:pStyle w:val="ListParagraph"/>
              <w:spacing w:before="0" w:after="120" w:line="240" w:lineRule="auto"/>
              <w:ind w:left="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Green</w:t>
            </w:r>
          </w:p>
        </w:tc>
      </w:tr>
    </w:tbl>
    <w:p w14:paraId="3BC2E160" w14:textId="77777777" w:rsidR="00370F36" w:rsidRPr="00CE23E9" w:rsidRDefault="00370F36" w:rsidP="00CE23E9">
      <w:pPr>
        <w:spacing w:before="0" w:after="0" w:line="240" w:lineRule="auto"/>
        <w:rPr>
          <w:rFonts w:cs="Calibri"/>
          <w:sz w:val="24"/>
          <w:szCs w:val="24"/>
        </w:rPr>
      </w:pPr>
    </w:p>
    <w:p w14:paraId="3E4CE27D" w14:textId="77777777" w:rsidR="00370F36" w:rsidRDefault="00370F36" w:rsidP="00370F36">
      <w:pPr>
        <w:pStyle w:val="Heading1"/>
        <w:numPr>
          <w:ilvl w:val="0"/>
          <w:numId w:val="1"/>
        </w:numPr>
        <w:pBdr>
          <w:top w:val="single" w:sz="24" w:space="0" w:color="004900"/>
          <w:left w:val="single" w:sz="24" w:space="0" w:color="004900"/>
          <w:bottom w:val="single" w:sz="24" w:space="0" w:color="004900"/>
          <w:right w:val="single" w:sz="24" w:space="0" w:color="004900"/>
        </w:pBdr>
        <w:shd w:val="clear" w:color="auto" w:fill="004900"/>
        <w:spacing w:line="240" w:lineRule="auto"/>
      </w:pPr>
      <w:r>
        <w:t>ADJOURN</w:t>
      </w:r>
    </w:p>
    <w:p w14:paraId="6DE57E73" w14:textId="77777777" w:rsidR="00C83899" w:rsidRPr="00C83899" w:rsidRDefault="00C83899" w:rsidP="00C83899">
      <w:pPr>
        <w:ind w:left="270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NOTES</w:t>
      </w:r>
    </w:p>
    <w:p w14:paraId="7D928CF3" w14:textId="0013462B" w:rsidR="002B2A50" w:rsidRPr="00CC6112" w:rsidRDefault="00031708" w:rsidP="00CC6112">
      <w:pPr>
        <w:spacing w:after="0" w:line="240" w:lineRule="auto"/>
        <w:ind w:left="270"/>
      </w:pPr>
      <w:r>
        <w:rPr>
          <w:b/>
        </w:rPr>
        <w:t>*</w:t>
      </w:r>
      <w:r w:rsidR="009A4D6D" w:rsidRPr="009A4D6D">
        <w:rPr>
          <w:b/>
        </w:rPr>
        <w:t>AGENDA STATUS</w:t>
      </w:r>
      <w:r w:rsidR="009A4D6D">
        <w:t xml:space="preserve"> – I</w:t>
      </w:r>
      <w:r w:rsidR="007820F5">
        <w:t>tems in the agenda are categorized as Red, Yellow or Green, signifying their level of importance and/or timeliness. Red items are items that need to be discussed and/or voted on. Yellow items are items that could use the Board’s attention</w:t>
      </w:r>
      <w:r w:rsidR="009A4D6D">
        <w:t xml:space="preserve"> but are less immediate in nature</w:t>
      </w:r>
      <w:r w:rsidR="007820F5">
        <w:t>. Green items are mostly for your information and could be skipped or moved to a subsequent meeting if agenda items take longer than planned</w:t>
      </w:r>
      <w:r w:rsidR="00CC6112">
        <w:t>.</w:t>
      </w:r>
      <w:bookmarkStart w:id="0" w:name="_GoBack"/>
      <w:bookmarkEnd w:id="0"/>
      <w:r w:rsidR="00F85B18">
        <w:rPr>
          <w:rFonts w:cs="Calibri"/>
        </w:rPr>
        <w:tab/>
      </w:r>
    </w:p>
    <w:sectPr w:rsidR="002B2A50" w:rsidRPr="00CC6112" w:rsidSect="00D65A80"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FBAFF" w14:textId="77777777" w:rsidR="00101585" w:rsidRDefault="00101585" w:rsidP="00572564">
      <w:pPr>
        <w:spacing w:before="0" w:after="0" w:line="240" w:lineRule="auto"/>
      </w:pPr>
      <w:r>
        <w:separator/>
      </w:r>
    </w:p>
  </w:endnote>
  <w:endnote w:type="continuationSeparator" w:id="0">
    <w:p w14:paraId="588464FD" w14:textId="77777777" w:rsidR="00101585" w:rsidRDefault="00101585" w:rsidP="0057256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039C7" w14:textId="77777777" w:rsidR="00101585" w:rsidRDefault="00101585" w:rsidP="00572564">
      <w:pPr>
        <w:spacing w:before="0" w:after="0" w:line="240" w:lineRule="auto"/>
      </w:pPr>
      <w:r>
        <w:separator/>
      </w:r>
    </w:p>
  </w:footnote>
  <w:footnote w:type="continuationSeparator" w:id="0">
    <w:p w14:paraId="5D8620D0" w14:textId="77777777" w:rsidR="00101585" w:rsidRDefault="00101585" w:rsidP="0057256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9C1"/>
    <w:multiLevelType w:val="hybridMultilevel"/>
    <w:tmpl w:val="DC4028A6"/>
    <w:lvl w:ilvl="0" w:tplc="12ACBEE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772C"/>
    <w:multiLevelType w:val="hybridMultilevel"/>
    <w:tmpl w:val="D338C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E45EF"/>
    <w:multiLevelType w:val="hybridMultilevel"/>
    <w:tmpl w:val="23C49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4EF6"/>
    <w:multiLevelType w:val="hybridMultilevel"/>
    <w:tmpl w:val="D7101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103B"/>
    <w:multiLevelType w:val="multilevel"/>
    <w:tmpl w:val="BB1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86747"/>
    <w:multiLevelType w:val="multilevel"/>
    <w:tmpl w:val="C0E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E1C48"/>
    <w:multiLevelType w:val="hybridMultilevel"/>
    <w:tmpl w:val="6F16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231D2"/>
    <w:multiLevelType w:val="hybridMultilevel"/>
    <w:tmpl w:val="16B6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F57656"/>
    <w:multiLevelType w:val="hybridMultilevel"/>
    <w:tmpl w:val="CD560BE0"/>
    <w:lvl w:ilvl="0" w:tplc="0F5813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3060B"/>
    <w:multiLevelType w:val="hybridMultilevel"/>
    <w:tmpl w:val="23C491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72E83"/>
    <w:multiLevelType w:val="hybridMultilevel"/>
    <w:tmpl w:val="AEF2E48E"/>
    <w:lvl w:ilvl="0" w:tplc="A9443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36"/>
    <w:rsid w:val="00022564"/>
    <w:rsid w:val="00023909"/>
    <w:rsid w:val="0002444B"/>
    <w:rsid w:val="00030F76"/>
    <w:rsid w:val="00031708"/>
    <w:rsid w:val="00033A83"/>
    <w:rsid w:val="000529E0"/>
    <w:rsid w:val="00054C13"/>
    <w:rsid w:val="00056B60"/>
    <w:rsid w:val="0007166F"/>
    <w:rsid w:val="00074C56"/>
    <w:rsid w:val="00095771"/>
    <w:rsid w:val="00095C6F"/>
    <w:rsid w:val="000A6C06"/>
    <w:rsid w:val="000A782F"/>
    <w:rsid w:val="000B2D4F"/>
    <w:rsid w:val="000B3617"/>
    <w:rsid w:val="000B75B3"/>
    <w:rsid w:val="000D2821"/>
    <w:rsid w:val="000E519C"/>
    <w:rsid w:val="00101585"/>
    <w:rsid w:val="00101BB1"/>
    <w:rsid w:val="001101E0"/>
    <w:rsid w:val="00111C99"/>
    <w:rsid w:val="00115D95"/>
    <w:rsid w:val="001267B5"/>
    <w:rsid w:val="00132778"/>
    <w:rsid w:val="00137059"/>
    <w:rsid w:val="00153A15"/>
    <w:rsid w:val="001720C9"/>
    <w:rsid w:val="00173CEB"/>
    <w:rsid w:val="00186596"/>
    <w:rsid w:val="001A3193"/>
    <w:rsid w:val="001A3F35"/>
    <w:rsid w:val="001A7205"/>
    <w:rsid w:val="001B4FC6"/>
    <w:rsid w:val="001B6D7C"/>
    <w:rsid w:val="001E3CAE"/>
    <w:rsid w:val="00216F5C"/>
    <w:rsid w:val="00223B6F"/>
    <w:rsid w:val="00226107"/>
    <w:rsid w:val="00226158"/>
    <w:rsid w:val="00231877"/>
    <w:rsid w:val="00233AF5"/>
    <w:rsid w:val="00271A53"/>
    <w:rsid w:val="002A1E96"/>
    <w:rsid w:val="002A2281"/>
    <w:rsid w:val="002A4360"/>
    <w:rsid w:val="002B2A50"/>
    <w:rsid w:val="002B6FDB"/>
    <w:rsid w:val="002D3748"/>
    <w:rsid w:val="002D394E"/>
    <w:rsid w:val="002E3386"/>
    <w:rsid w:val="002F2DF7"/>
    <w:rsid w:val="002F4704"/>
    <w:rsid w:val="002F6DF8"/>
    <w:rsid w:val="002F7E1B"/>
    <w:rsid w:val="00303153"/>
    <w:rsid w:val="00312AB9"/>
    <w:rsid w:val="003210F1"/>
    <w:rsid w:val="00335BBB"/>
    <w:rsid w:val="00370F36"/>
    <w:rsid w:val="00381609"/>
    <w:rsid w:val="00381CFC"/>
    <w:rsid w:val="003A5436"/>
    <w:rsid w:val="003A6697"/>
    <w:rsid w:val="003A72AC"/>
    <w:rsid w:val="003B6E31"/>
    <w:rsid w:val="003C2C84"/>
    <w:rsid w:val="003E2765"/>
    <w:rsid w:val="003E75DF"/>
    <w:rsid w:val="003F0043"/>
    <w:rsid w:val="003F56AC"/>
    <w:rsid w:val="00406305"/>
    <w:rsid w:val="004204E7"/>
    <w:rsid w:val="00425D27"/>
    <w:rsid w:val="00455665"/>
    <w:rsid w:val="004A6A28"/>
    <w:rsid w:val="004B19B9"/>
    <w:rsid w:val="004B542E"/>
    <w:rsid w:val="004C0404"/>
    <w:rsid w:val="004C3CB3"/>
    <w:rsid w:val="004D0DF4"/>
    <w:rsid w:val="004D2A98"/>
    <w:rsid w:val="004E0E79"/>
    <w:rsid w:val="004F4882"/>
    <w:rsid w:val="004F49BC"/>
    <w:rsid w:val="004F6CC8"/>
    <w:rsid w:val="00512601"/>
    <w:rsid w:val="00516090"/>
    <w:rsid w:val="00541A50"/>
    <w:rsid w:val="00542004"/>
    <w:rsid w:val="00554EE5"/>
    <w:rsid w:val="005555F3"/>
    <w:rsid w:val="00561F70"/>
    <w:rsid w:val="00572564"/>
    <w:rsid w:val="005809D4"/>
    <w:rsid w:val="00583533"/>
    <w:rsid w:val="00596B14"/>
    <w:rsid w:val="00597E7D"/>
    <w:rsid w:val="005A2D89"/>
    <w:rsid w:val="005A2EEC"/>
    <w:rsid w:val="005C076E"/>
    <w:rsid w:val="005C2E49"/>
    <w:rsid w:val="005D4C89"/>
    <w:rsid w:val="005E47F9"/>
    <w:rsid w:val="0065734F"/>
    <w:rsid w:val="00666506"/>
    <w:rsid w:val="00667F65"/>
    <w:rsid w:val="00672214"/>
    <w:rsid w:val="006A6B12"/>
    <w:rsid w:val="006B2938"/>
    <w:rsid w:val="006E1E0D"/>
    <w:rsid w:val="006E5CFC"/>
    <w:rsid w:val="006F28D4"/>
    <w:rsid w:val="007115A2"/>
    <w:rsid w:val="00713EF5"/>
    <w:rsid w:val="007203A0"/>
    <w:rsid w:val="00725036"/>
    <w:rsid w:val="007276E7"/>
    <w:rsid w:val="0073053A"/>
    <w:rsid w:val="00731D3B"/>
    <w:rsid w:val="00733F6A"/>
    <w:rsid w:val="00745E6F"/>
    <w:rsid w:val="007769A3"/>
    <w:rsid w:val="007820F5"/>
    <w:rsid w:val="0079372B"/>
    <w:rsid w:val="007944C0"/>
    <w:rsid w:val="00796AF2"/>
    <w:rsid w:val="007974C1"/>
    <w:rsid w:val="007A03A3"/>
    <w:rsid w:val="007A2DDF"/>
    <w:rsid w:val="007B0714"/>
    <w:rsid w:val="007C2464"/>
    <w:rsid w:val="007C55F3"/>
    <w:rsid w:val="007C7900"/>
    <w:rsid w:val="007D21DC"/>
    <w:rsid w:val="008037D2"/>
    <w:rsid w:val="00832326"/>
    <w:rsid w:val="0083443E"/>
    <w:rsid w:val="00835CE3"/>
    <w:rsid w:val="00840469"/>
    <w:rsid w:val="008656F0"/>
    <w:rsid w:val="00870ADE"/>
    <w:rsid w:val="0088318C"/>
    <w:rsid w:val="00884756"/>
    <w:rsid w:val="0089130B"/>
    <w:rsid w:val="0089385B"/>
    <w:rsid w:val="008C62F5"/>
    <w:rsid w:val="008D3CE7"/>
    <w:rsid w:val="008D6457"/>
    <w:rsid w:val="008E5E0D"/>
    <w:rsid w:val="008F20AA"/>
    <w:rsid w:val="008F79E6"/>
    <w:rsid w:val="008F7D2D"/>
    <w:rsid w:val="00906159"/>
    <w:rsid w:val="00916BD6"/>
    <w:rsid w:val="00922323"/>
    <w:rsid w:val="00923F4A"/>
    <w:rsid w:val="00930122"/>
    <w:rsid w:val="00930F50"/>
    <w:rsid w:val="00933294"/>
    <w:rsid w:val="009334CD"/>
    <w:rsid w:val="00935D3D"/>
    <w:rsid w:val="00937491"/>
    <w:rsid w:val="00940366"/>
    <w:rsid w:val="00942721"/>
    <w:rsid w:val="009574AD"/>
    <w:rsid w:val="009627C5"/>
    <w:rsid w:val="0096637D"/>
    <w:rsid w:val="0097322C"/>
    <w:rsid w:val="0097497E"/>
    <w:rsid w:val="0097609B"/>
    <w:rsid w:val="00984AB9"/>
    <w:rsid w:val="00984AF4"/>
    <w:rsid w:val="009A0914"/>
    <w:rsid w:val="009A305A"/>
    <w:rsid w:val="009A3840"/>
    <w:rsid w:val="009A4D6D"/>
    <w:rsid w:val="009A70BF"/>
    <w:rsid w:val="009A77CA"/>
    <w:rsid w:val="009F06C4"/>
    <w:rsid w:val="009F5053"/>
    <w:rsid w:val="00A118F9"/>
    <w:rsid w:val="00A27FBA"/>
    <w:rsid w:val="00A32296"/>
    <w:rsid w:val="00A5033C"/>
    <w:rsid w:val="00A51518"/>
    <w:rsid w:val="00A65BC1"/>
    <w:rsid w:val="00A6797B"/>
    <w:rsid w:val="00A833AE"/>
    <w:rsid w:val="00A842BA"/>
    <w:rsid w:val="00AB69A5"/>
    <w:rsid w:val="00AC24FC"/>
    <w:rsid w:val="00AC5D80"/>
    <w:rsid w:val="00AD757A"/>
    <w:rsid w:val="00B17FF5"/>
    <w:rsid w:val="00B27C6F"/>
    <w:rsid w:val="00B360DA"/>
    <w:rsid w:val="00B620C0"/>
    <w:rsid w:val="00B76E31"/>
    <w:rsid w:val="00B878EF"/>
    <w:rsid w:val="00B97B88"/>
    <w:rsid w:val="00BA4EB2"/>
    <w:rsid w:val="00BB3876"/>
    <w:rsid w:val="00BC54F1"/>
    <w:rsid w:val="00BD18CB"/>
    <w:rsid w:val="00BF6C49"/>
    <w:rsid w:val="00C139E4"/>
    <w:rsid w:val="00C15609"/>
    <w:rsid w:val="00C247B8"/>
    <w:rsid w:val="00C343D9"/>
    <w:rsid w:val="00C46DB0"/>
    <w:rsid w:val="00C57364"/>
    <w:rsid w:val="00C62296"/>
    <w:rsid w:val="00C7651C"/>
    <w:rsid w:val="00C82E84"/>
    <w:rsid w:val="00C83899"/>
    <w:rsid w:val="00C86A3C"/>
    <w:rsid w:val="00C87ED0"/>
    <w:rsid w:val="00CA4ED0"/>
    <w:rsid w:val="00CA66BF"/>
    <w:rsid w:val="00CC6112"/>
    <w:rsid w:val="00CD08EB"/>
    <w:rsid w:val="00CD62B3"/>
    <w:rsid w:val="00CD7A0A"/>
    <w:rsid w:val="00CE23E9"/>
    <w:rsid w:val="00CF1DD7"/>
    <w:rsid w:val="00CF57B2"/>
    <w:rsid w:val="00D17FE2"/>
    <w:rsid w:val="00D35841"/>
    <w:rsid w:val="00D371D4"/>
    <w:rsid w:val="00D42786"/>
    <w:rsid w:val="00D47415"/>
    <w:rsid w:val="00D51402"/>
    <w:rsid w:val="00D52185"/>
    <w:rsid w:val="00D638FA"/>
    <w:rsid w:val="00D64ACC"/>
    <w:rsid w:val="00D65A80"/>
    <w:rsid w:val="00DA0990"/>
    <w:rsid w:val="00DA3BA2"/>
    <w:rsid w:val="00DA7FAF"/>
    <w:rsid w:val="00DB10FA"/>
    <w:rsid w:val="00DB44AA"/>
    <w:rsid w:val="00DC289A"/>
    <w:rsid w:val="00DC7ABE"/>
    <w:rsid w:val="00DD27FD"/>
    <w:rsid w:val="00DF2303"/>
    <w:rsid w:val="00E33323"/>
    <w:rsid w:val="00E84974"/>
    <w:rsid w:val="00E92333"/>
    <w:rsid w:val="00EA0876"/>
    <w:rsid w:val="00EB6271"/>
    <w:rsid w:val="00EC27DF"/>
    <w:rsid w:val="00EC4726"/>
    <w:rsid w:val="00EC55C1"/>
    <w:rsid w:val="00EE1230"/>
    <w:rsid w:val="00EE2C7B"/>
    <w:rsid w:val="00F045AC"/>
    <w:rsid w:val="00F31F7D"/>
    <w:rsid w:val="00F44417"/>
    <w:rsid w:val="00F46541"/>
    <w:rsid w:val="00F64AAD"/>
    <w:rsid w:val="00F821D7"/>
    <w:rsid w:val="00F85B18"/>
    <w:rsid w:val="00F9181A"/>
    <w:rsid w:val="00FA3AB5"/>
    <w:rsid w:val="00FA5BF7"/>
    <w:rsid w:val="00FD497A"/>
    <w:rsid w:val="00FE1A7B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A29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36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F3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370F36"/>
    <w:pPr>
      <w:spacing w:before="2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6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6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64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36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F3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F36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ableGrid">
    <w:name w:val="Table Grid"/>
    <w:basedOn w:val="TableNormal"/>
    <w:uiPriority w:val="59"/>
    <w:rsid w:val="00370F36"/>
    <w:pPr>
      <w:spacing w:before="20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56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64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64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56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64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38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Renae Waneka</dc:creator>
  <cp:lastModifiedBy>Mathilde Andrejko</cp:lastModifiedBy>
  <cp:revision>4</cp:revision>
  <cp:lastPrinted>2016-03-11T17:25:00Z</cp:lastPrinted>
  <dcterms:created xsi:type="dcterms:W3CDTF">2016-03-11T17:21:00Z</dcterms:created>
  <dcterms:modified xsi:type="dcterms:W3CDTF">2016-03-11T17:27:00Z</dcterms:modified>
</cp:coreProperties>
</file>